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Gabriel Morrissey-Limb</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Gabriel Morrissey-Limb</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Gabriel Morrissey-Limb</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Gabriel Morrissey-Limb</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