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pageBreakBefore w:val="0"/>
        <w:numPr>
          <w:ilvl w:val="0"/>
          <w:numId w:val="2"/>
        </w:numPr>
        <w:ind w:left="720" w:hanging="360"/>
        <w:rPr>
          <w:rFonts w:ascii="Open Sans" w:cs="Open Sans" w:eastAsia="Open Sans" w:hAnsi="Open Sans"/>
          <w:sz w:val="4"/>
          <w:szCs w:val="4"/>
          <w:u w:val="none"/>
        </w:rPr>
      </w:pPr>
      <w:r w:rsidDel="00000000" w:rsidR="00000000" w:rsidRPr="00000000">
        <w:rPr>
          <w:rtl w:val="0"/>
        </w:rPr>
      </w:r>
    </w:p>
    <w:p w:rsidR="00000000" w:rsidDel="00000000" w:rsidP="00000000" w:rsidRDefault="00000000" w:rsidRPr="00000000" w14:paraId="00000003">
      <w:pPr>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80.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00"/>
        <w:gridCol w:w="4220"/>
        <w:gridCol w:w="5060"/>
        <w:tblGridChange w:id="0">
          <w:tblGrid>
            <w:gridCol w:w="7100"/>
            <w:gridCol w:w="4220"/>
            <w:gridCol w:w="506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RISK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Open Sans" w:cs="Open Sans" w:eastAsia="Open Sans" w:hAnsi="Open Sans"/>
                <w:b w:val="1"/>
                <w:sz w:val="24"/>
                <w:szCs w:val="24"/>
              </w:rPr>
            </w:pPr>
            <w:r w:rsidDel="00000000" w:rsidR="00000000" w:rsidRPr="00000000">
              <w:rPr>
                <w:rtl w:val="0"/>
              </w:rPr>
            </w:r>
          </w:p>
          <w:tbl>
            <w:tblPr>
              <w:tblStyle w:val="Table2"/>
              <w:tblW w:w="6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3450"/>
              <w:tblGridChange w:id="0">
                <w:tblGrid>
                  <w:gridCol w:w="3450"/>
                  <w:gridCol w:w="34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BPM Electronic Music &amp; DJ Society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Music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OSCAR WHITEHEAD BROOKES (Vice President)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OSCAR WHITEHEAD BROOKES 28/07/25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Packhorse (Open Decks) primarily, and occasionally other venues across Leeds including Belgrave Music Hall, Eiger Studios, The Fenton, Headrow House.</w:t>
                  </w:r>
                </w:p>
                <w:p w:rsidR="00000000" w:rsidDel="00000000" w:rsidP="00000000" w:rsidRDefault="00000000" w:rsidRPr="00000000" w14:paraId="00000018">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Also, known society members house (contingent on their consent)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This society caters for people interested in electronic music and DJing. This includes DJing workshops, weekly open decks, music production workshops, socials at Leeds local music venues AND society members residences,  and talks to encourage the celebration and education of underground and electronic music history (more specifically in Leeds).</w:t>
                  </w:r>
                </w:p>
                <w:p w:rsidR="00000000" w:rsidDel="00000000" w:rsidP="00000000" w:rsidRDefault="00000000" w:rsidRPr="00000000" w14:paraId="0000001C">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1"/>
                    </w:numP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0">
                  <w:pPr>
                    <w:widowControl w:val="0"/>
                    <w:numPr>
                      <w:ilvl w:val="0"/>
                      <w:numId w:val="1"/>
                    </w:numP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21">
                  <w:pPr>
                    <w:widowControl w:val="0"/>
                    <w:numPr>
                      <w:ilvl w:val="0"/>
                      <w:numId w:val="1"/>
                    </w:numP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Staff</w:t>
                  </w:r>
                </w:p>
                <w:p w:rsidR="00000000" w:rsidDel="00000000" w:rsidP="00000000" w:rsidRDefault="00000000" w:rsidRPr="00000000" w14:paraId="00000022">
                  <w:pPr>
                    <w:widowControl w:val="0"/>
                    <w:numPr>
                      <w:ilvl w:val="0"/>
                      <w:numId w:val="1"/>
                    </w:numPr>
                    <w:spacing w:line="240" w:lineRule="auto"/>
                    <w:ind w:left="720" w:hanging="360"/>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Neighbours of houses where socials may occur</w:t>
                  </w:r>
                </w:p>
              </w:tc>
            </w:tr>
          </w:tbl>
          <w:p w:rsidR="00000000" w:rsidDel="00000000" w:rsidP="00000000" w:rsidRDefault="00000000" w:rsidRPr="00000000" w14:paraId="00000023">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Open Sans" w:cs="Open Sans" w:eastAsia="Open Sans" w:hAnsi="Open Sans"/>
                <w:b w:val="1"/>
                <w:sz w:val="24"/>
                <w:szCs w:val="24"/>
              </w:rPr>
            </w:pPr>
            <w:r w:rsidDel="00000000" w:rsidR="00000000" w:rsidRPr="00000000">
              <w:rPr>
                <w:rtl w:val="0"/>
              </w:rPr>
            </w:r>
          </w:p>
          <w:tbl>
            <w:tblPr>
              <w:tblStyle w:val="Table3"/>
              <w:tblW w:w="4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2010"/>
              <w:tblGridChange w:id="0">
                <w:tblGrid>
                  <w:gridCol w:w="2010"/>
                  <w:gridCol w:w="201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1">
            <w:pPr>
              <w:widowControl w:val="0"/>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2010"/>
              <w:tblGridChange w:id="0">
                <w:tblGrid>
                  <w:gridCol w:w="2010"/>
                  <w:gridCol w:w="201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Open Sans" w:cs="Open Sans" w:eastAsia="Open Sans" w:hAnsi="Open Sans"/>
                <w:b w:val="1"/>
                <w:sz w:val="24"/>
                <w:szCs w:val="24"/>
              </w:rPr>
            </w:pPr>
            <w:r w:rsidDel="00000000" w:rsidR="00000000" w:rsidRPr="00000000">
              <w:rPr>
                <w:rtl w:val="0"/>
              </w:rPr>
            </w:r>
          </w:p>
          <w:tbl>
            <w:tblPr>
              <w:tblStyle w:val="Table5"/>
              <w:tblW w:w="48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4.2857142857143"/>
              <w:gridCol w:w="694.2857142857143"/>
              <w:gridCol w:w="694.2857142857143"/>
              <w:gridCol w:w="694.2857142857143"/>
              <w:gridCol w:w="694.2857142857143"/>
              <w:gridCol w:w="694.2857142857143"/>
              <w:gridCol w:w="694.2857142857143"/>
              <w:tblGridChange w:id="0">
                <w:tblGrid>
                  <w:gridCol w:w="694.2857142857143"/>
                  <w:gridCol w:w="694.2857142857143"/>
                  <w:gridCol w:w="694.2857142857143"/>
                  <w:gridCol w:w="694.2857142857143"/>
                  <w:gridCol w:w="694.2857142857143"/>
                  <w:gridCol w:w="694.2857142857143"/>
                  <w:gridCol w:w="694.2857142857143"/>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rFonts w:ascii="Open Sans" w:cs="Open Sans" w:eastAsia="Open Sans" w:hAnsi="Open Sans"/>
                <w:b w:val="1"/>
                <w:sz w:val="24"/>
                <w:szCs w:val="24"/>
              </w:rPr>
            </w:pPr>
            <w:r w:rsidDel="00000000" w:rsidR="00000000" w:rsidRPr="00000000">
              <w:rPr>
                <w:rtl w:val="0"/>
              </w:rPr>
            </w:r>
          </w:p>
          <w:tbl>
            <w:tblPr>
              <w:tblStyle w:val="Table6"/>
              <w:tblW w:w="48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2430"/>
              <w:tblGridChange w:id="0">
                <w:tblGrid>
                  <w:gridCol w:w="2430"/>
                  <w:gridCol w:w="24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2">
      <w:pPr>
        <w:rPr>
          <w:rFonts w:ascii="Open Sans" w:cs="Open Sans" w:eastAsia="Open Sans" w:hAnsi="Open Sans"/>
          <w:b w:val="1"/>
          <w:sz w:val="24"/>
          <w:szCs w:val="24"/>
        </w:rPr>
      </w:pPr>
      <w:r w:rsidDel="00000000" w:rsidR="00000000" w:rsidRPr="00000000">
        <w:rPr>
          <w:rtl w:val="0"/>
        </w:rPr>
      </w:r>
    </w:p>
    <w:tbl>
      <w:tblPr>
        <w:tblStyle w:val="Table7"/>
        <w:tblW w:w="15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1830"/>
        <w:gridCol w:w="540"/>
        <w:gridCol w:w="570"/>
        <w:gridCol w:w="435"/>
        <w:gridCol w:w="4185"/>
        <w:gridCol w:w="540"/>
        <w:gridCol w:w="570"/>
        <w:gridCol w:w="615"/>
        <w:gridCol w:w="4335"/>
        <w:tblGridChange w:id="0">
          <w:tblGrid>
            <w:gridCol w:w="2265"/>
            <w:gridCol w:w="1830"/>
            <w:gridCol w:w="540"/>
            <w:gridCol w:w="570"/>
            <w:gridCol w:w="435"/>
            <w:gridCol w:w="4185"/>
            <w:gridCol w:w="540"/>
            <w:gridCol w:w="570"/>
            <w:gridCol w:w="615"/>
            <w:gridCol w:w="433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w:t>
            </w:r>
          </w:p>
          <w:p w:rsidR="00000000" w:rsidDel="00000000" w:rsidP="00000000" w:rsidRDefault="00000000" w:rsidRPr="00000000" w14:paraId="00000097">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Only fill out if additional control measures are needed to be implemented or reviewed</w:t>
            </w:r>
          </w:p>
          <w:p w:rsidR="00000000" w:rsidDel="00000000" w:rsidP="00000000" w:rsidRDefault="00000000" w:rsidRPr="00000000" w14:paraId="0000009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p w:rsidR="00000000" w:rsidDel="00000000" w:rsidP="00000000" w:rsidRDefault="00000000" w:rsidRPr="00000000" w14:paraId="0000009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Tripping/ getting caught on wires</w:t>
            </w:r>
          </w:p>
          <w:p w:rsidR="00000000" w:rsidDel="00000000" w:rsidP="00000000" w:rsidRDefault="00000000" w:rsidRPr="00000000" w14:paraId="0000009B">
            <w:pPr>
              <w:widowControl w:val="0"/>
              <w:spacing w:line="240" w:lineRule="auto"/>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Members of the society (either performing or in attendance of socials) can get caught on wires on the floor or near equipment creating the risk of any staff or members of the society falling/tripping.</w:t>
            </w:r>
          </w:p>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9E">
            <w:pPr>
              <w:widowControl w:val="0"/>
              <w:spacing w:line="240" w:lineRule="auto"/>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Hosts will warn participants and members of the society of areas of hazard and provide assistance with cables, in addition to any other queries a member may have. </w:t>
            </w:r>
          </w:p>
          <w:p w:rsidR="00000000" w:rsidDel="00000000" w:rsidP="00000000" w:rsidRDefault="00000000" w:rsidRPr="00000000" w14:paraId="000000A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Larger cords are typically stuck down together and on the floor in a discrete location to prevent them being a nuisance or getting damaged.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Slips, trips, and falls</w:t>
            </w:r>
          </w:p>
          <w:p w:rsidR="00000000" w:rsidDel="00000000" w:rsidP="00000000" w:rsidRDefault="00000000" w:rsidRPr="00000000" w14:paraId="000000A9">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Members of the society/staff of venues within the space of the events with alcoholic/non-alcoholic beverages may spill beverages resulting in the risk of slipping/falling.</w:t>
            </w:r>
          </w:p>
          <w:p w:rsidR="00000000" w:rsidDel="00000000" w:rsidP="00000000" w:rsidRDefault="00000000" w:rsidRPr="00000000" w14:paraId="000000A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Students, members and guests may be injured if they trip over objects or slip on spillages</w:t>
            </w:r>
          </w:p>
          <w:p w:rsidR="00000000" w:rsidDel="00000000" w:rsidP="00000000" w:rsidRDefault="00000000" w:rsidRPr="00000000" w14:paraId="000000AD">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that during spillages,committee members are made aware or directly inform a member of staff is made aware or to clean the spillage as soon as possible</w:t>
            </w:r>
          </w:p>
          <w:p w:rsidR="00000000" w:rsidDel="00000000" w:rsidP="00000000" w:rsidRDefault="00000000" w:rsidRPr="00000000" w14:paraId="000000B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Complete an individual risk assessment if necessary</w:t>
            </w:r>
          </w:p>
          <w:p w:rsidR="00000000" w:rsidDel="00000000" w:rsidP="00000000" w:rsidRDefault="00000000" w:rsidRPr="00000000" w14:paraId="000000B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Hosts to check the event space ahead of guest arrival, reporting any issues to the appropriate personnel to be rectified immediately. </w:t>
            </w:r>
          </w:p>
          <w:p w:rsidR="00000000" w:rsidDel="00000000" w:rsidP="00000000" w:rsidRDefault="00000000" w:rsidRPr="00000000" w14:paraId="000000B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Contacts can readily access help when required. Briefed with appropriate contact details. </w:t>
            </w:r>
          </w:p>
          <w:p w:rsidR="00000000" w:rsidDel="00000000" w:rsidP="00000000" w:rsidRDefault="00000000" w:rsidRPr="00000000" w14:paraId="000000B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CHECK FOR BROKEN GLASS/HAZARDS</w:t>
            </w:r>
          </w:p>
          <w:p w:rsidR="00000000" w:rsidDel="00000000" w:rsidP="00000000" w:rsidRDefault="00000000" w:rsidRPr="00000000" w14:paraId="000000B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meeting space is appropriate for the activity, checking capacity limits pre-event and managing crowd traffic.</w:t>
            </w:r>
          </w:p>
          <w:p w:rsidR="00000000" w:rsidDel="00000000" w:rsidP="00000000" w:rsidRDefault="00000000" w:rsidRPr="00000000" w14:paraId="000000B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no objects left out for potential of theft or tripping. </w:t>
            </w:r>
          </w:p>
          <w:p w:rsidR="00000000" w:rsidDel="00000000" w:rsidP="00000000" w:rsidRDefault="00000000" w:rsidRPr="00000000" w14:paraId="000000B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Notify the venue of spillages.</w:t>
            </w:r>
          </w:p>
          <w:p w:rsidR="00000000" w:rsidDel="00000000" w:rsidP="00000000" w:rsidRDefault="00000000" w:rsidRPr="00000000" w14:paraId="000000B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Duct tape cables out of areas with high foot traffic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Spillages on equipment</w:t>
            </w:r>
          </w:p>
          <w:p w:rsidR="00000000" w:rsidDel="00000000" w:rsidP="00000000" w:rsidRDefault="00000000" w:rsidRPr="00000000" w14:paraId="000000C0">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When hosting socials or events, there is a risk that beverages (alcoholic and non-alcoholic) may be spilled on equipment if in close proximity. This can result in equipment damaged or electric-related consequences such as fire (highly unlikely but should be considered) </w:t>
            </w:r>
          </w:p>
          <w:p w:rsidR="00000000" w:rsidDel="00000000" w:rsidP="00000000" w:rsidRDefault="00000000" w:rsidRPr="00000000" w14:paraId="000000C2">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liquid consumption occurs at a distance from equipment</w:t>
            </w:r>
          </w:p>
          <w:p w:rsidR="00000000" w:rsidDel="00000000" w:rsidP="00000000" w:rsidRDefault="00000000" w:rsidRPr="00000000" w14:paraId="000000C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Only the member using equipment place their drink at a safe distance</w:t>
            </w:r>
          </w:p>
          <w:p w:rsidR="00000000" w:rsidDel="00000000" w:rsidP="00000000" w:rsidRDefault="00000000" w:rsidRPr="00000000" w14:paraId="000000C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During workshops, allow only water to be consumed to ensure everyone is fully aware</w:t>
            </w:r>
          </w:p>
          <w:p w:rsidR="00000000" w:rsidDel="00000000" w:rsidP="00000000" w:rsidRDefault="00000000" w:rsidRPr="00000000" w14:paraId="000000C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Allow water in the room, but only in a certain corner.</w:t>
            </w:r>
          </w:p>
          <w:p w:rsidR="00000000" w:rsidDel="00000000" w:rsidP="00000000" w:rsidRDefault="00000000" w:rsidRPr="00000000" w14:paraId="000000C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hosts are vigilant throughout events</w:t>
            </w:r>
          </w:p>
          <w:p w:rsidR="00000000" w:rsidDel="00000000" w:rsidP="00000000" w:rsidRDefault="00000000" w:rsidRPr="00000000" w14:paraId="000000CB">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Noise level of music </w:t>
            </w:r>
          </w:p>
          <w:p w:rsidR="00000000" w:rsidDel="00000000" w:rsidP="00000000" w:rsidRDefault="00000000" w:rsidRPr="00000000" w14:paraId="000000D1">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Participants DJIng at socials or workshops/ members attending socials risk possible ear damage from sound equipment  due to poor equipment standards. </w:t>
            </w:r>
          </w:p>
          <w:p w:rsidR="00000000" w:rsidDel="00000000" w:rsidP="00000000" w:rsidRDefault="00000000" w:rsidRPr="00000000" w14:paraId="000000D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Vulnerable people (such as those with neurodivergence) may have noise sensitivity and are at the risk of overstimulation</w:t>
            </w:r>
          </w:p>
          <w:p w:rsidR="00000000" w:rsidDel="00000000" w:rsidP="00000000" w:rsidRDefault="00000000" w:rsidRPr="00000000" w14:paraId="000000D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Frequently monitor trim level on equipment to ensure all levels are appropriate and do not exceed to the point of extreme bass or bad sound quality that can damage hearing and speakers alike. </w:t>
            </w:r>
          </w:p>
          <w:p w:rsidR="00000000" w:rsidDel="00000000" w:rsidP="00000000" w:rsidRDefault="00000000" w:rsidRPr="00000000" w14:paraId="000000D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Place speakers throughout the room to allow equal sound dispersal throughout the space, so the front of the room isn’t too loud and the back too quiet. </w:t>
            </w:r>
          </w:p>
          <w:p w:rsidR="00000000" w:rsidDel="00000000" w:rsidP="00000000" w:rsidRDefault="00000000" w:rsidRPr="00000000" w14:paraId="000000D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Damaged or broken equipment is not used and is replaced. As always- equipment audits up to date.</w:t>
            </w:r>
          </w:p>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-Provide access to ear protection OR recommend it in pre-event guidance.</w:t>
            </w:r>
          </w:p>
          <w:p w:rsidR="00000000" w:rsidDel="00000000" w:rsidP="00000000" w:rsidRDefault="00000000" w:rsidRPr="00000000" w14:paraId="000000E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-Provide ear plugs at events to prevent ear damage</w:t>
            </w:r>
          </w:p>
          <w:p w:rsidR="00000000" w:rsidDel="00000000" w:rsidP="00000000" w:rsidRDefault="00000000" w:rsidRPr="00000000" w14:paraId="000000E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-Have volunteers from societies that are trained or experienced with people who have noise sensitivity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Accessibility in venues</w:t>
            </w:r>
          </w:p>
          <w:p w:rsidR="00000000" w:rsidDel="00000000" w:rsidP="00000000" w:rsidRDefault="00000000" w:rsidRPr="00000000" w14:paraId="000000E8">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Members of the society who have disabilities may be at risk if the building of the venue/social is inaccessible</w:t>
            </w:r>
          </w:p>
          <w:p w:rsidR="00000000" w:rsidDel="00000000" w:rsidP="00000000" w:rsidRDefault="00000000" w:rsidRPr="00000000" w14:paraId="000000EA">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-Check venues if there are steps, are there alternative entrances for wheelchair access</w:t>
            </w:r>
          </w:p>
          <w:p w:rsidR="00000000" w:rsidDel="00000000" w:rsidP="00000000" w:rsidRDefault="00000000" w:rsidRPr="00000000" w14:paraId="000000E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-If a wheelchair user opens the door will it stay open to allow them to enter.</w:t>
            </w:r>
          </w:p>
          <w:p w:rsidR="00000000" w:rsidDel="00000000" w:rsidP="00000000" w:rsidRDefault="00000000" w:rsidRPr="00000000" w14:paraId="000000F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-Check venue has disabled toilets. Ensure they are wheelchair accessible</w:t>
            </w:r>
          </w:p>
          <w:p w:rsidR="00000000" w:rsidDel="00000000" w:rsidP="00000000" w:rsidRDefault="00000000" w:rsidRPr="00000000" w14:paraId="000000F1">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Use of Electrical equipment i.e speakers</w:t>
            </w:r>
          </w:p>
          <w:p w:rsidR="00000000" w:rsidDel="00000000" w:rsidP="00000000" w:rsidRDefault="00000000" w:rsidRPr="00000000" w14:paraId="000000F7">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Students, staff, and members of public may be at risk of fire, burns, or shock</w:t>
            </w:r>
          </w:p>
          <w:p w:rsidR="00000000" w:rsidDel="00000000" w:rsidP="00000000" w:rsidRDefault="00000000" w:rsidRPr="00000000" w14:paraId="000000F9">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-Valid PAT test by LUU staff is undertaken prior to use.</w:t>
            </w:r>
          </w:p>
          <w:p w:rsidR="00000000" w:rsidDel="00000000" w:rsidP="00000000" w:rsidRDefault="00000000" w:rsidRPr="00000000" w14:paraId="000000F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Electrical risk assessment if at an external venue. </w:t>
            </w:r>
          </w:p>
          <w:p w:rsidR="00000000" w:rsidDel="00000000" w:rsidP="00000000" w:rsidRDefault="00000000" w:rsidRPr="00000000" w14:paraId="000000F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Ensure hazards are relatively out of the way</w:t>
            </w:r>
          </w:p>
          <w:p w:rsidR="00000000" w:rsidDel="00000000" w:rsidP="00000000" w:rsidRDefault="00000000" w:rsidRPr="00000000" w14:paraId="0000010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Ensure all members are aware of fire exits and assembly points. </w:t>
            </w:r>
          </w:p>
          <w:p w:rsidR="00000000" w:rsidDel="00000000" w:rsidP="00000000" w:rsidRDefault="00000000" w:rsidRPr="00000000" w14:paraId="0000010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Ensure all exits are not blocked by any obstacles.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Using vehicles for society purposes</w:t>
            </w:r>
          </w:p>
          <w:p w:rsidR="00000000" w:rsidDel="00000000" w:rsidP="00000000" w:rsidRDefault="00000000" w:rsidRPr="00000000" w14:paraId="00000107">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 members are at risk of road injury </w:t>
            </w:r>
          </w:p>
          <w:p w:rsidR="00000000" w:rsidDel="00000000" w:rsidP="00000000" w:rsidRDefault="00000000" w:rsidRPr="00000000" w14:paraId="00000109">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p w:rsidR="00000000" w:rsidDel="00000000" w:rsidP="00000000" w:rsidRDefault="00000000" w:rsidRPr="00000000" w14:paraId="0000010B">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ind w:left="0" w:firstLine="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Use cabs or encourage alternative methods of travel, i.e walking, where possible</w:t>
            </w:r>
          </w:p>
          <w:p w:rsidR="00000000" w:rsidDel="00000000" w:rsidP="00000000" w:rsidRDefault="00000000" w:rsidRPr="00000000" w14:paraId="0000010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Only drivers who have completed the authorised driver process with the LUU activities team ahead of trip can drive.</w:t>
            </w:r>
          </w:p>
          <w:p w:rsidR="00000000" w:rsidDel="00000000" w:rsidP="00000000" w:rsidRDefault="00000000" w:rsidRPr="00000000" w14:paraId="0000011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Committee to ensure drivers driving large vehicles have completed MIDAS training through the LUU Activities team ahead of trip.</w:t>
            </w:r>
          </w:p>
          <w:p w:rsidR="00000000" w:rsidDel="00000000" w:rsidP="00000000" w:rsidRDefault="00000000" w:rsidRPr="00000000" w14:paraId="0000011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Driver to complete pre driving check ensuring vehicle is safe to drive.</w:t>
            </w:r>
          </w:p>
          <w:p w:rsidR="00000000" w:rsidDel="00000000" w:rsidP="00000000" w:rsidRDefault="00000000" w:rsidRPr="00000000" w14:paraId="0000011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Emergency first aid kit, food water and blanket are in the car pre travel.</w:t>
            </w:r>
          </w:p>
          <w:p w:rsidR="00000000" w:rsidDel="00000000" w:rsidP="00000000" w:rsidRDefault="00000000" w:rsidRPr="00000000" w14:paraId="0000011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Driver to adhere to UK government road safety legislation. </w:t>
            </w:r>
          </w:p>
          <w:p w:rsidR="00000000" w:rsidDel="00000000" w:rsidP="00000000" w:rsidRDefault="00000000" w:rsidRPr="00000000" w14:paraId="0000011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Driver to check weather conditions ahead of driving at starting location, route and end destination.</w:t>
            </w:r>
          </w:p>
          <w:p w:rsidR="00000000" w:rsidDel="00000000" w:rsidP="00000000" w:rsidRDefault="00000000" w:rsidRPr="00000000" w14:paraId="0000011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Committee to plan route service rest breaks ahead of journey. </w:t>
            </w:r>
          </w:p>
          <w:p w:rsidR="00000000" w:rsidDel="00000000" w:rsidP="00000000" w:rsidRDefault="00000000" w:rsidRPr="00000000" w14:paraId="0000011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 List of passengers </w:t>
            </w:r>
          </w:p>
          <w:p w:rsidR="00000000" w:rsidDel="00000000" w:rsidP="00000000" w:rsidRDefault="00000000" w:rsidRPr="00000000" w14:paraId="0000011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Driver to adhere to UK government road safety legislation.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Lifting and carrying</w:t>
            </w:r>
          </w:p>
          <w:p w:rsidR="00000000" w:rsidDel="00000000" w:rsidP="00000000" w:rsidRDefault="00000000" w:rsidRPr="00000000" w14:paraId="0000011D">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Students or participants may be at risk of injury when carrying heavy equipment such as speakers</w:t>
            </w:r>
          </w:p>
          <w:p w:rsidR="00000000" w:rsidDel="00000000" w:rsidP="00000000" w:rsidRDefault="00000000" w:rsidRPr="00000000" w14:paraId="0000011F">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2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person carrying equipment has the correct posture and bends down before lifting</w:t>
            </w:r>
          </w:p>
          <w:p w:rsidR="00000000" w:rsidDel="00000000" w:rsidP="00000000" w:rsidRDefault="00000000" w:rsidRPr="00000000" w14:paraId="0000012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-If possible use trolley provided by venue or LUU</w:t>
            </w:r>
          </w:p>
          <w:p w:rsidR="00000000" w:rsidDel="00000000" w:rsidP="00000000" w:rsidRDefault="00000000" w:rsidRPr="00000000" w14:paraId="0000012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-Multiple committee members carry/aid with items that cannot be lifted by one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2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Social night out </w:t>
            </w:r>
          </w:p>
          <w:p w:rsidR="00000000" w:rsidDel="00000000" w:rsidP="00000000" w:rsidRDefault="00000000" w:rsidRPr="00000000" w14:paraId="0000012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2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Illness due to intoxication, drug misuse, dehydration</w:t>
            </w:r>
          </w:p>
          <w:p w:rsidR="00000000" w:rsidDel="00000000" w:rsidP="00000000" w:rsidRDefault="00000000" w:rsidRPr="00000000" w14:paraId="0000012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Students and members of the society attending socials arranged by the committee at on or off campus sites are at risk of the consequences of alcohol consumption. This can include students at risk of losing group and being separated from the group, inappropriate behaviour towards other group members may occur, excessive amounts of alcohol consumed resulting in illness or the risk of being spiked.</w:t>
            </w:r>
          </w:p>
          <w:p w:rsidR="00000000" w:rsidDel="00000000" w:rsidP="00000000" w:rsidRDefault="00000000" w:rsidRPr="00000000" w14:paraId="00000133">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ab/>
            </w:r>
          </w:p>
          <w:p w:rsidR="00000000" w:rsidDel="00000000" w:rsidP="00000000" w:rsidRDefault="00000000" w:rsidRPr="00000000" w14:paraId="0000013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3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-Pre-visit the venue to ensure there is existing safety protocol and there is no venue history of an unsafe environment or over-capacity.  </w:t>
            </w:r>
          </w:p>
          <w:p w:rsidR="00000000" w:rsidDel="00000000" w:rsidP="00000000" w:rsidRDefault="00000000" w:rsidRPr="00000000" w14:paraId="0000013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Host members attend a meeting divulging safety protocol, measuring techniques and vigilance training.</w:t>
            </w:r>
          </w:p>
          <w:p w:rsidR="00000000" w:rsidDel="00000000" w:rsidP="00000000" w:rsidRDefault="00000000" w:rsidRPr="00000000" w14:paraId="0000013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Members in the evening dedicated to ensuring welfare of the group. These members will wear identifiable objects and can provide safe, non-judgemental support to members throughout the night. </w:t>
            </w:r>
          </w:p>
          <w:p w:rsidR="00000000" w:rsidDel="00000000" w:rsidP="00000000" w:rsidRDefault="00000000" w:rsidRPr="00000000" w14:paraId="0000013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Welfare officer/other members asked to support and identify intoxicated people at risk. </w:t>
            </w:r>
          </w:p>
          <w:p w:rsidR="00000000" w:rsidDel="00000000" w:rsidP="00000000" w:rsidRDefault="00000000" w:rsidRPr="00000000" w14:paraId="0000013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Chat containing all prior information, available throughout the night. </w:t>
            </w:r>
          </w:p>
          <w:p w:rsidR="00000000" w:rsidDel="00000000" w:rsidP="00000000" w:rsidRDefault="00000000" w:rsidRPr="00000000" w14:paraId="0000013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Members aware of the LUU constitution and code of conduct relating to appropriate behaviours. </w:t>
            </w:r>
          </w:p>
          <w:p w:rsidR="00000000" w:rsidDel="00000000" w:rsidP="00000000" w:rsidRDefault="00000000" w:rsidRPr="00000000" w14:paraId="0000013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t>
              <w:tab/>
              <w:t xml:space="preserve">Ensure all members are aware that alcohol consumption is a personal choice at a social event.</w:t>
            </w:r>
          </w:p>
          <w:p w:rsidR="00000000" w:rsidDel="00000000" w:rsidP="00000000" w:rsidRDefault="00000000" w:rsidRPr="00000000" w14:paraId="0000014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ensure venue staff at venues we work with are trained to deal with any negative consequences of social nights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Overcrowding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 socials at either houses or at venues may become overcrowded, possibly leading to fire hazards or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socials, regardless of location, should be subject to a prior inspection from a committee members regarding their capacity. For venues this includes knowing the legal capacity and for houses this will mean estimating an amount of people in which there will still be a safe amount of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Fire Hazards within Student Homes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Fire hazards due to candles, indoor smoking, kitchen use or overloaded electrical sockets.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socials in which there is seen to be a possible fire hazard (mostly socials inside) must have a strict ban on any open flames in order to prevent fire hazards, this should be adequately communicated with all attendees before the start of the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Harassment or Assault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society members experiencing harassment or assault on a night out, social or gathering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Make clear the societies no-tolerance policies to all members of the society.</w:t>
            </w:r>
          </w:p>
          <w:p w:rsidR="00000000" w:rsidDel="00000000" w:rsidP="00000000" w:rsidRDefault="00000000" w:rsidRPr="00000000" w14:paraId="0000015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6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the welfare rep can perform their role adequately</w:t>
            </w:r>
          </w:p>
          <w:p w:rsidR="00000000" w:rsidDel="00000000" w:rsidP="00000000" w:rsidRDefault="00000000" w:rsidRPr="00000000" w14:paraId="0000016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6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all committee staff are aware of important information such as campus securities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Noise Complaints from Neighbours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Neighbours may complain or call the authorities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Agree, prior to the event, on a cut-off time</w:t>
            </w:r>
          </w:p>
          <w:p w:rsidR="00000000" w:rsidDel="00000000" w:rsidP="00000000" w:rsidRDefault="00000000" w:rsidRPr="00000000" w14:paraId="0000016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6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Close windows after a prearranged time</w:t>
            </w:r>
          </w:p>
          <w:p w:rsidR="00000000" w:rsidDel="00000000" w:rsidP="00000000" w:rsidRDefault="00000000" w:rsidRPr="00000000" w14:paraId="0000016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Let neighbours know in advance if appropriate</w:t>
            </w:r>
          </w:p>
          <w:p w:rsidR="00000000" w:rsidDel="00000000" w:rsidP="00000000" w:rsidRDefault="00000000" w:rsidRPr="00000000" w14:paraId="0000017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Limit amplified noise to a minimum where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177">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78">
      <w:pPr>
        <w:pageBreakBefore w:val="0"/>
        <w:rPr>
          <w:rFonts w:ascii="Open Sans" w:cs="Open Sans" w:eastAsia="Open Sans" w:hAnsi="Open Sans"/>
          <w:sz w:val="4"/>
          <w:szCs w:val="4"/>
        </w:rPr>
      </w:pPr>
      <w:r w:rsidDel="00000000" w:rsidR="00000000" w:rsidRPr="00000000">
        <w:rPr>
          <w:rtl w:val="0"/>
        </w:rPr>
      </w:r>
    </w:p>
    <w:sectPr>
      <w:pgSz w:h="11906" w:w="16838" w:orient="landscape"/>
      <w:pgMar w:bottom="283.46456692913387" w:top="283.46456692913387" w:left="873.0708661417325" w:right="873.0708661417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