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Against Sexual Harassment &amp; Assault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Wellbeing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Sebastian Glasper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SemiBold" w:cs="Open Sans SemiBold" w:eastAsia="Open Sans SemiBold" w:hAnsi="Open Sans SemiBold"/>
                      <w:sz w:val="24"/>
                      <w:szCs w:val="24"/>
                    </w:rPr>
                  </w:pPr>
                  <w:r w:rsidDel="00000000" w:rsidR="00000000" w:rsidRPr="00000000">
                    <w:rPr>
                      <w:rFonts w:ascii="Caveat" w:cs="Caveat" w:eastAsia="Caveat" w:hAnsi="Caveat"/>
                      <w:b w:val="1"/>
                      <w:sz w:val="24"/>
                      <w:szCs w:val="24"/>
                      <w:rtl w:val="0"/>
                    </w:rPr>
                    <w:t xml:space="preserve">S.W.Glasper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25/07/25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committee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Mostly on campus at Leeds University Union.Occasionally, host events off-campus in licensed venues.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host weekly ‘Sip &amp; Social’ (non-alcohol) and ‘Pub &amp; Chat’ (alcohol optional) weekly on campus. These are a chill hangout space for members where we host well-being sessions. We also host talks, workshops, and fundraisers across the year.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 (Uni of Leeds and LUU)</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Charity/organisation partners</w:t>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1">
      <w:pPr>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1950"/>
        <w:gridCol w:w="540"/>
        <w:gridCol w:w="480"/>
        <w:gridCol w:w="525"/>
        <w:gridCol w:w="4185"/>
        <w:gridCol w:w="540"/>
        <w:gridCol w:w="570"/>
        <w:gridCol w:w="615"/>
        <w:gridCol w:w="4335"/>
        <w:tblGridChange w:id="0">
          <w:tblGrid>
            <w:gridCol w:w="2145"/>
            <w:gridCol w:w="195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6">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Triggering Content</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All members/public</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Including content warnings with all of our content and encouraging open discussions with members if issues arise.</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We always provide direct support, internally and externally, which would fall onto the core committee (president, secretary, treasurer) or our welfare officers.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Disclosures</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Committee and society members</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have formal setu</w:t>
            </w:r>
            <w:r w:rsidDel="00000000" w:rsidR="00000000" w:rsidRPr="00000000">
              <w:rPr>
                <w:rFonts w:ascii="Open Sans" w:cs="Open Sans" w:eastAsia="Open Sans" w:hAnsi="Open Sans"/>
                <w:rtl w:val="0"/>
              </w:rPr>
              <w:t xml:space="preserve">ps internally for disclosure processes, as well as welfare protocols </w:t>
            </w:r>
            <w:r w:rsidDel="00000000" w:rsidR="00000000" w:rsidRPr="00000000">
              <w:rPr>
                <w:rFonts w:ascii="Open Sans" w:cs="Open Sans" w:eastAsia="Open Sans" w:hAnsi="Open Sans"/>
                <w:rtl w:val="0"/>
              </w:rPr>
              <w:t xml:space="preserve">for the person sharing and the person listening. This process includes: </w:t>
              <w:br w:type="textWrapping"/>
              <w:t xml:space="preserve">1. Remember, you are not obligated to support a disclosure; you can kindly redirect anyone to support services or to SASHA’s Core or Welfare team.</w:t>
            </w:r>
          </w:p>
          <w:p w:rsidR="00000000" w:rsidDel="00000000" w:rsidP="00000000" w:rsidRDefault="00000000" w:rsidRPr="00000000" w14:paraId="000000A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Make it clear you are not a professional and cannot offer any mental health service, but can support as a peer and </w:t>
            </w:r>
            <w:r w:rsidDel="00000000" w:rsidR="00000000" w:rsidRPr="00000000">
              <w:rPr>
                <w:rFonts w:ascii="Open Sans" w:cs="Open Sans" w:eastAsia="Open Sans" w:hAnsi="Open Sans"/>
                <w:i w:val="1"/>
                <w:rtl w:val="0"/>
              </w:rPr>
              <w:t xml:space="preserve">signpost</w:t>
            </w:r>
            <w:r w:rsidDel="00000000" w:rsidR="00000000" w:rsidRPr="00000000">
              <w:rPr>
                <w:rFonts w:ascii="Open Sans" w:cs="Open Sans" w:eastAsia="Open Sans" w:hAnsi="Open Sans"/>
                <w:rtl w:val="0"/>
              </w:rPr>
              <w:t xml:space="preserve"> to appropriate resources. </w:t>
            </w:r>
          </w:p>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For online disclosures, we have a template in our Google Drive to help, but only Core, Welfare and Publicity have access to our Instagram/email to mitigate this.</w:t>
            </w:r>
          </w:p>
          <w:p w:rsidR="00000000" w:rsidDel="00000000" w:rsidP="00000000" w:rsidRDefault="00000000" w:rsidRPr="00000000" w14:paraId="000000A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Our welfare officers do weekly check-ins with the committee for both well-being and workload. </w:t>
            </w:r>
          </w:p>
          <w:p w:rsidR="00000000" w:rsidDel="00000000" w:rsidP="00000000" w:rsidRDefault="00000000" w:rsidRPr="00000000" w14:paraId="000000A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5. Communication is encouraged, committee is informed that they only need to contact a Core or Welfare committee member if they need to step back or reassign work.</w:t>
              <w:br w:type="textWrapping"/>
              <w:t xml:space="preserve">6. Wellbeing plans are encouraged, setting one up early can make it easier to communicate with others if you want support.</w:t>
            </w:r>
          </w:p>
          <w:p w:rsidR="00000000" w:rsidDel="00000000" w:rsidP="00000000" w:rsidRDefault="00000000" w:rsidRPr="00000000" w14:paraId="000000A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7. All committee members attend a welfare training session at the start of the academic year to become familiar with this process.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Direct the individual to reliable and trusted support links, as well as ensure it is appropriately managed within the committee by the right members. We will now aim to also liaise with newly instated ‘Consent Ambassadors’ within LUU to further strengthen this process.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worried about confidentiality</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Anyone sharing their experience</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Ensuring consent at the beginning of conversations is vital; anonymity is provided in-person and online. Especially with our testimonies page, as all testimonies are able to be retracted and are anonymised.</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Food allergens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attendees of</w:t>
            </w:r>
          </w:p>
          <w:p w:rsidR="00000000" w:rsidDel="00000000" w:rsidP="00000000" w:rsidRDefault="00000000" w:rsidRPr="00000000" w14:paraId="000000B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‘Sip &amp; Social’ or ‘Pub &amp; Chat’  attendees</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participants are informed of food ingredients and are asked about allergens</w:t>
            </w:r>
            <w:r w:rsidDel="00000000" w:rsidR="00000000" w:rsidRPr="00000000">
              <w:rPr>
                <w:rFonts w:ascii="Open Sans" w:cs="Open Sans" w:eastAsia="Open Sans" w:hAnsi="Open Sans"/>
                <w:rtl w:val="0"/>
              </w:rPr>
              <w:t xml:space="preserve">. We ensure the food approval process is followed, and at ‘Sip and Social’, only provide food in packaging to prevent contamination issues. We do not serve home-prepared food. Major allergens are made clear, but attendee discretion is advised. </w:t>
              <w:br w:type="textWrapping"/>
              <w:br w:type="textWrapping"/>
              <w:t xml:space="preserve">SASHA does not accept liability of for food allergen issues within ‘Pub and Chat’ as any food purchased is done by attendee discretion at Old Bar. </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Hot water</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attendees of ‘Sip and Social’</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Make it clear that hot water is present, and keep the station in a safe space and away from walkways. We use a commercial water boiler within Sip and Social’, and ensure the boiler is in a stable location. The water boiler is only carried when it is empty and is always carried by two committee members to mitigate the risk of dropping it. Committee who support ‘Sip and Social’ are informed of the LUU health and safety policied in the event of an accident.</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Slipping/falling</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Ensure all venues are safe,and </w:t>
            </w:r>
            <w:r w:rsidDel="00000000" w:rsidR="00000000" w:rsidRPr="00000000">
              <w:rPr>
                <w:rFonts w:ascii="Open Sans" w:cs="Open Sans" w:eastAsia="Open Sans" w:hAnsi="Open Sans"/>
                <w:rtl w:val="0"/>
              </w:rPr>
              <w:t xml:space="preserve">remove any hazards (such as wiring, spilled water, improper floorin</w:t>
            </w:r>
            <w:r w:rsidDel="00000000" w:rsidR="00000000" w:rsidRPr="00000000">
              <w:rPr>
                <w:rFonts w:ascii="Open Sans" w:cs="Open Sans" w:eastAsia="Open Sans" w:hAnsi="Open Sans"/>
                <w:rtl w:val="0"/>
              </w:rPr>
              <w:t xml:space="preserve">g, etc,) should they be present. We have a designated member of the committee at each event to conduct these checks, typically our events officer(s).</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size</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did not experience room size as an issue at our events last year; however, if it does become an issue, we will explore getting a bigger space. Our larger-scale events are typically ticketed to avoid overcrowding, or they are in an open space (i.e. outdoors).</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Crafting equipment (i.e. scissors)</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Inform members about the dangers of using any sharp equipment. The committee will monitor the event and ensure people are acting responsibly. </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 committee that support our craft events are informed of where to access first aid within LUU.</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Social behaviours - drinking</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 majority of our social events are non-alcoholic; therefore, drinking is a rare occurrence. If drinking is involved we encourage all members act responsibly and are safe, a handful of our committee always remain sober at large events.</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also often have a ‘wellbeing space’ at our large scale events which is monitored by a committee member at all times.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Walking home alone</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Ensuring members have a safe way to get to events or to get home. Encouraging people to walk in groups and ask for people to use appropriate services (WalkSafe, SafeZone, and the Night Bus) to mitigate risk.</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also sometimes will provide ‘walk with us’ to larger events from public points.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Emergencies (General </w:t>
            </w:r>
            <w:r w:rsidDel="00000000" w:rsidR="00000000" w:rsidRPr="00000000">
              <w:rPr>
                <w:rFonts w:ascii="Open Sans" w:cs="Open Sans" w:eastAsia="Open Sans" w:hAnsi="Open Sans"/>
                <w:rtl w:val="0"/>
              </w:rPr>
              <w:t xml:space="preserve">etc</w:t>
            </w:r>
            <w:r w:rsidDel="00000000" w:rsidR="00000000" w:rsidRPr="00000000">
              <w:rPr>
                <w:rFonts w:ascii="Open Sans" w:cs="Open Sans" w:eastAsia="Open Sans" w:hAnsi="Open Sans"/>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 the event of a genuine emergency, it is important to have a clear response plan. If the emergency takes place on campus committee is prepared with the University Security numbers and can contact emergency services.</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 chances of a genuine emergency are low; however, if one occurs committee know to direct to emergency services first, and then inform LUU and  core committee once safe and able to do so.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Emergency (fire)</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Committee / Members</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If a fire occurs, the committee will ask members to evacuate to the nearest safe point and contact 999 immediately. The committee are also advised to contact Security once safe to do so to ensure the building can be safely evacuated. No committee is health and safety trained and will not administer first aid unless directed to do so by a health care professional or emergency services.</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Committee will ensure that any exits or walkways are not impeded before the beginning of events, and will go over housekeeping with attendees where appropriate. SASHA does not currently own any electrical equipment that requires PAT testing.</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Emergency (medical)</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Committee / Members</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In the event of a medical emergency committee is to contact 999 immediately and follow the advice of the emergency services. When safe to do so or a second committee member will contact Security to help ensure first responders or first aid staff can come to the scene. All committees are informed of where to try and find support on campus. SASHA has no events or practices that have a high risk of medical emergency.</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Committee members informed of procedure.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Weather</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Having a backup location for outdoor events or being able to reschedule. If it is hot weather, ensure there is shade and water available.</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Socio-political hazards</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Unexpected protests or disruptions during an event may occur, ensuring that no one is caused harm and having a plan to either disperse or move if necessary. </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3F">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0">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Open Sans SemiBol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12581B"/>
    <w:rPr>
      <w:sz w:val="16"/>
      <w:szCs w:val="16"/>
    </w:rPr>
  </w:style>
  <w:style w:type="paragraph" w:styleId="CommentText">
    <w:name w:val="annotation text"/>
    <w:basedOn w:val="Normal"/>
    <w:link w:val="CommentTextChar"/>
    <w:uiPriority w:val="99"/>
    <w:unhideWhenUsed w:val="1"/>
    <w:rsid w:val="0012581B"/>
    <w:pPr>
      <w:spacing w:line="240" w:lineRule="auto"/>
    </w:pPr>
    <w:rPr>
      <w:sz w:val="20"/>
      <w:szCs w:val="20"/>
    </w:rPr>
  </w:style>
  <w:style w:type="character" w:styleId="CommentTextChar" w:customStyle="1">
    <w:name w:val="Comment Text Char"/>
    <w:basedOn w:val="DefaultParagraphFont"/>
    <w:link w:val="CommentText"/>
    <w:uiPriority w:val="99"/>
    <w:rsid w:val="0012581B"/>
    <w:rPr>
      <w:sz w:val="20"/>
      <w:szCs w:val="20"/>
    </w:rPr>
  </w:style>
  <w:style w:type="paragraph" w:styleId="CommentSubject">
    <w:name w:val="annotation subject"/>
    <w:basedOn w:val="CommentText"/>
    <w:next w:val="CommentText"/>
    <w:link w:val="CommentSubjectChar"/>
    <w:uiPriority w:val="99"/>
    <w:semiHidden w:val="1"/>
    <w:unhideWhenUsed w:val="1"/>
    <w:rsid w:val="0012581B"/>
    <w:rPr>
      <w:b w:val="1"/>
      <w:bCs w:val="1"/>
    </w:rPr>
  </w:style>
  <w:style w:type="character" w:styleId="CommentSubjectChar" w:customStyle="1">
    <w:name w:val="Comment Subject Char"/>
    <w:basedOn w:val="CommentTextChar"/>
    <w:link w:val="CommentSubject"/>
    <w:uiPriority w:val="99"/>
    <w:semiHidden w:val="1"/>
    <w:rsid w:val="0012581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OpenSansSemiBold-regular.ttf"/><Relationship Id="rId4" Type="http://schemas.openxmlformats.org/officeDocument/2006/relationships/font" Target="fonts/OpenSansSemiBold-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SemiBold-italic.ttf"/><Relationship Id="rId6" Type="http://schemas.openxmlformats.org/officeDocument/2006/relationships/font" Target="fonts/OpenSansSemi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Dx2l0n1qtiDgGo0saqLY6Z+sA==">CgMxLjA4AHIhMXp5V3RrMWNVTnFwT29ESEZEc3lJREd5RjlpZEhsak5t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2025-08-04T10:13:00Z</dcterms:created>
</cp:coreProperties>
</file>