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EyeSoc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Georgia Sherlock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Georgia Sherlock 01/08/2025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 names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University Union, Worsley Building, Maurice Keyworth, Baines Wing &amp; other university buildings if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EyeSoc is a society to promote medical students’ interest in ophthalmology and related subspecialties. We aim to provide educational talks, workshops and other events to help students with revision and raise awareness of opportunities within ophthalmology.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External speakers</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F">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0">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80"/>
        <w:gridCol w:w="525"/>
        <w:gridCol w:w="4185"/>
        <w:gridCol w:w="540"/>
        <w:gridCol w:w="570"/>
        <w:gridCol w:w="615"/>
        <w:gridCol w:w="4305"/>
        <w:tblGridChange w:id="0">
          <w:tblGrid>
            <w:gridCol w:w="2370"/>
            <w:gridCol w:w="1920"/>
            <w:gridCol w:w="345"/>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5">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6">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Trip hazards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Furniture, belongings or other objects left carelessly that people could trip over, resulting in a fall or slip.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hosting an event, the committee will ensure belongings are not kept in walkways or in the way of furniture that may be moved. Committee will ensure that throughout the event, walkways and fire exits are kept clear, and that the overall space is tidy.</w:t>
            </w:r>
          </w:p>
          <w:p w:rsidR="00000000" w:rsidDel="00000000" w:rsidP="00000000" w:rsidRDefault="00000000" w:rsidRPr="00000000" w14:paraId="0000009F">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Venues: We will ensure that we book an appropriately sized venue for the number of participants and for the activity (eg. talk, OSCE stations, workshops)</w:t>
            </w:r>
          </w:p>
          <w:p w:rsidR="00000000" w:rsidDel="00000000" w:rsidP="00000000" w:rsidRDefault="00000000" w:rsidRPr="00000000" w14:paraId="000000A0">
            <w:pPr>
              <w:widowControl w:val="0"/>
              <w:spacing w:after="240" w:befor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 trip hazard cannot be moved, the committee (we) will ensure that all participants are aware of the hazard so they can exercise caution. </w:t>
            </w:r>
          </w:p>
          <w:p w:rsidR="00000000" w:rsidDel="00000000" w:rsidP="00000000" w:rsidRDefault="00000000" w:rsidRPr="00000000" w14:paraId="000000A1">
            <w:pPr>
              <w:widowControl w:val="0"/>
              <w:spacing w:after="240" w:befor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ensure that the venue is well lit.</w:t>
            </w:r>
          </w:p>
          <w:p w:rsidR="00000000" w:rsidDel="00000000" w:rsidP="00000000" w:rsidRDefault="00000000" w:rsidRPr="00000000" w14:paraId="000000A2">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Spillages: No food and drink will be permitted in the venue (unless for a bake sale or prior food approval has been sought). Any spillages will be mopped up immediately with paper towels. If a spillage cannot be cleaned immediately, all participants will be made aware of the hazard and if available a wet floor sign will be put in place.</w:t>
            </w:r>
          </w:p>
          <w:p w:rsidR="00000000" w:rsidDel="00000000" w:rsidP="00000000" w:rsidRDefault="00000000" w:rsidRPr="00000000" w14:paraId="000000A3">
            <w:pPr>
              <w:widowControl w:val="0"/>
              <w:spacing w:line="240" w:lineRule="auto"/>
              <w:jc w:val="left"/>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Venue staff/management will be contacted if the spillage cannot be resolved.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0"/>
                <w:szCs w:val="20"/>
                <w:rtl w:val="0"/>
              </w:rPr>
              <w:t xml:space="preserve">Electrical equipment (projectors, plug sockets, wires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Electrical equipment that is inappropriate for use, unsafe, damaged etc. may cause shock, burns or other injury to participants.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Prior to an event committee will ensure that electrical equipment that will be used is safe. Committee will ensure that: there are no loose wires or damaged parts; PAT test dates are recent; no liquids are near electricals; no plug sockets are overloaded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0"/>
                <w:szCs w:val="20"/>
                <w:rtl w:val="0"/>
              </w:rPr>
              <w:t xml:space="preserve">Bake sale events or other events which involve food &amp; drink - food allergies, contamination, poor food hygiene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Sickness, vomiting, diarrhoea, anaphylaxis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will ensure allergens are clearly labelled on items of food &amp; drink. This will be checked twice by two different committee members. Foods with allergens will be kept entirely separate from foods that do not contain them.</w:t>
            </w:r>
          </w:p>
          <w:p w:rsidR="00000000" w:rsidDel="00000000" w:rsidP="00000000" w:rsidRDefault="00000000" w:rsidRPr="00000000" w14:paraId="000000B8">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Foods containing nuts will be avoided if possible.</w:t>
            </w:r>
          </w:p>
          <w:p w:rsidR="00000000" w:rsidDel="00000000" w:rsidP="00000000" w:rsidRDefault="00000000" w:rsidRPr="00000000" w14:paraId="000000B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0"/>
                <w:szCs w:val="20"/>
                <w:rtl w:val="0"/>
              </w:rPr>
              <w:t xml:space="preserve">Before providing food, the committee will check if participants have any allergies on sign-up forms.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Smoke inhalation or burns.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the start of the event, the committee will ensure everyone knows where the nearest fire exit is, and the committee will ensure there is a clear path to these exits.</w:t>
            </w:r>
          </w:p>
          <w:p w:rsidR="00000000" w:rsidDel="00000000" w:rsidP="00000000" w:rsidRDefault="00000000" w:rsidRPr="00000000" w14:paraId="000000C4">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will make themselves familiar with the emergency procedures for each venue we host an event in.</w:t>
            </w:r>
          </w:p>
          <w:p w:rsidR="00000000" w:rsidDel="00000000" w:rsidP="00000000" w:rsidRDefault="00000000" w:rsidRPr="00000000" w14:paraId="000000C5">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Registers will be taken at the start of each event to ensure an accurate account of attendees is held in case of evacuation.</w:t>
            </w:r>
          </w:p>
          <w:p w:rsidR="00000000" w:rsidDel="00000000" w:rsidP="00000000" w:rsidRDefault="00000000" w:rsidRPr="00000000" w14:paraId="000000C6">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Evacuation routes and the assembly point will be communicated to event attendees at the start of the event.</w:t>
            </w:r>
          </w:p>
          <w:p w:rsidR="00000000" w:rsidDel="00000000" w:rsidP="00000000" w:rsidRDefault="00000000" w:rsidRPr="00000000" w14:paraId="000000C7">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Participants will be reminded to be calm in the event of an emergency and leave swiftly without gathering belongings.</w:t>
            </w:r>
          </w:p>
          <w:p w:rsidR="00000000" w:rsidDel="00000000" w:rsidP="00000000" w:rsidRDefault="00000000" w:rsidRPr="00000000" w14:paraId="000000C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Explicit fire hazards such as live flames and damaged electrics will be avoided at all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Inappropriate or disorderly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Physical or emotional injury if there is inappropriate or disorderly behaviour from anyone (participating in the event or otherwise).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ensure that confrontation is avoided and situations are diffused quickly and calmly.</w:t>
            </w:r>
          </w:p>
          <w:p w:rsidR="00000000" w:rsidDel="00000000" w:rsidP="00000000" w:rsidRDefault="00000000" w:rsidRPr="00000000" w14:paraId="000000D3">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Committee members will ensure that participants are aware of the code of conduct of the university and the society, and of the consequences if these codes are not adhered to. </w:t>
            </w:r>
          </w:p>
          <w:p w:rsidR="00000000" w:rsidDel="00000000" w:rsidP="00000000" w:rsidRDefault="00000000" w:rsidRPr="00000000" w14:paraId="000000D4">
            <w:pPr>
              <w:widowControl w:val="0"/>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an incident occurs, details of the participants involved will be noted, and a formal report will be made to LUU and university security.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D9">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A">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