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2"/>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Midwifery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Jessica Birkinshaw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Jessica Birkinshaw </w:t>
                    <w:br w:type="textWrapping"/>
                    <w:t xml:space="preserve">30/07/2025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Faith Thompson </w:t>
                  </w:r>
                  <w:r w:rsidDel="00000000" w:rsidR="00000000" w:rsidRPr="00000000">
                    <w:rPr>
                      <w:rFonts w:ascii="Open Sans" w:cs="Open Sans" w:eastAsia="Open Sans" w:hAnsi="Open Sans"/>
                      <w:b w:val="1"/>
                      <w:sz w:val="24"/>
                      <w:szCs w:val="24"/>
                      <w:rtl w:val="0"/>
                    </w:rPr>
                    <w:t xml:space="preserve">(President)</w:t>
                    <w:br w:type="textWrapping"/>
                  </w:r>
                  <w:r w:rsidDel="00000000" w:rsidR="00000000" w:rsidRPr="00000000">
                    <w:rPr>
                      <w:rFonts w:ascii="Open Sans" w:cs="Open Sans" w:eastAsia="Open Sans" w:hAnsi="Open Sans"/>
                      <w:sz w:val="24"/>
                      <w:szCs w:val="24"/>
                      <w:rtl w:val="0"/>
                    </w:rPr>
                    <w:t xml:space="preserve">Lewis Jones </w:t>
                  </w:r>
                  <w:r w:rsidDel="00000000" w:rsidR="00000000" w:rsidRPr="00000000">
                    <w:rPr>
                      <w:rFonts w:ascii="Open Sans" w:cs="Open Sans" w:eastAsia="Open Sans" w:hAnsi="Open Sans"/>
                      <w:b w:val="1"/>
                      <w:sz w:val="24"/>
                      <w:szCs w:val="24"/>
                      <w:rtl w:val="0"/>
                    </w:rPr>
                    <w:t xml:space="preserve">(Vice President)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Jessica Birkinshaw </w:t>
                  </w:r>
                  <w:r w:rsidDel="00000000" w:rsidR="00000000" w:rsidRPr="00000000">
                    <w:rPr>
                      <w:rFonts w:ascii="Open Sans" w:cs="Open Sans" w:eastAsia="Open Sans" w:hAnsi="Open Sans"/>
                      <w:b w:val="1"/>
                      <w:sz w:val="24"/>
                      <w:szCs w:val="24"/>
                      <w:rtl w:val="0"/>
                    </w:rPr>
                    <w:t xml:space="preserve">(Secretary)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Kaitlyn Stewart </w:t>
                  </w:r>
                  <w:r w:rsidDel="00000000" w:rsidR="00000000" w:rsidRPr="00000000">
                    <w:rPr>
                      <w:rFonts w:ascii="Open Sans" w:cs="Open Sans" w:eastAsia="Open Sans" w:hAnsi="Open Sans"/>
                      <w:b w:val="1"/>
                      <w:sz w:val="24"/>
                      <w:szCs w:val="24"/>
                      <w:rtl w:val="0"/>
                    </w:rPr>
                    <w:t xml:space="preserve">(Treasurer)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Common Ground</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Student Union Spaces</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Places of public access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University classrooms and lecture halls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Workshops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Guest speakers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Support groups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Sober arts and crafts socials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Student advice drop ins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Social gatherings held outside of campus in areas of public access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9">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E">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F">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A0">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General trip hazards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Tripping, slipping, or falling over something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society committee members are aware and remove any trip hazards in the event space. If these hazards are immovable, then point this out to attendees.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the event of a 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Panic causing injury or members being forgotten/left behind and becoming trapped in the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that committee members are aware of nearby assembly points as well as who attends each event, so that everyone is kept. Also to ensure that members leave calmly and assemble at the designated point within an adequate time limit.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Use of electrical devices during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Potential electrocution due to electrical malfunction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Consumption of alcohol during off-site society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drinking irresponsibly and putting themselves and others at risk of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that committee members drink responsibly so that they are able to preserve the safety and dignity of members attending these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Manual handling of society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Moving large items to event spaces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committee and society members must complete a manual handling training session as they are students within the NHS, therefore committee members must ensure that members are reminded to use proper manual handling techniques.</w:t>
            </w:r>
          </w:p>
          <w:p w:rsidR="00000000" w:rsidDel="00000000" w:rsidP="00000000" w:rsidRDefault="00000000" w:rsidRPr="00000000" w14:paraId="000000D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Or prevent members from moving large objects entirely.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Interpersonal issues between committee and society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Mental distress causing further mental health issues that may affect quality of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Provide members with contacts to committee members as well as university mental health and wellbeing services to ensure they have a safe space separate from the society to discuss their feelings.</w:t>
            </w:r>
          </w:p>
          <w:p w:rsidR="00000000" w:rsidDel="00000000" w:rsidP="00000000" w:rsidRDefault="00000000" w:rsidRPr="00000000" w14:paraId="000000DC">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that all committee meetings are civil and considered a safe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Allergic reaction from food or drink served at a society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Injury and potentially death due to anaphylaxis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that there is food/drink available for all dietary requirements and that those with allergies are known to the committee during events where food/drink will be provided.</w:t>
            </w:r>
          </w:p>
          <w:p w:rsidR="00000000" w:rsidDel="00000000" w:rsidP="00000000" w:rsidRDefault="00000000" w:rsidRPr="00000000" w14:paraId="000000E8">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use of an epipen and calling 999 if an allergic reaction is suspected.</w:t>
            </w:r>
          </w:p>
          <w:p w:rsidR="00000000" w:rsidDel="00000000" w:rsidP="00000000" w:rsidRDefault="00000000" w:rsidRPr="00000000" w14:paraId="000000EA">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there is no epipen, an immediate call to 999 must be placed.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0FA">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B">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C">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