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ind w:left="720" w:hanging="360"/>
        <w:rPr>
          <w:rFonts w:ascii="Open Sans" w:cs="Open Sans" w:eastAsia="Open Sans" w:hAnsi="Open Sans"/>
          <w:sz w:val="4"/>
          <w:szCs w:val="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-425.1968503937008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95.0" w:type="dxa"/>
        <w:jc w:val="left"/>
        <w:tblInd w:w="-425.196850393700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4215"/>
        <w:gridCol w:w="5070"/>
        <w:tblGridChange w:id="0">
          <w:tblGrid>
            <w:gridCol w:w="7110"/>
            <w:gridCol w:w="4215"/>
            <w:gridCol w:w="5070"/>
          </w:tblGrid>
        </w:tblGridChange>
      </w:tblGrid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CLUB AND SOCIETY INDIVIDUAL RISK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Degree of Risk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Risk Rating Matrix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9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455"/>
              <w:gridCol w:w="3455"/>
              <w:tblGridChange w:id="0">
                <w:tblGrid>
                  <w:gridCol w:w="3455"/>
                  <w:gridCol w:w="34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Society Name: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LUU PERKS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Category: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Academic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Author(s):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Kertu Babik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Author(s) signature and date: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  <w:drawing>
                      <wp:inline distB="114300" distT="114300" distL="114300" distR="114300">
                        <wp:extent cx="2047875" cy="800100"/>
                        <wp:effectExtent b="0" l="0" r="0" t="0"/>
                        <wp:docPr id="2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75" cy="8001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15.07.25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Persons Responsible: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Finlay Hewson</w:t>
                    <w:br w:type="textWrapping"/>
                    <w:t xml:space="preserve">Kertu Babik</w:t>
                    <w:br w:type="textWrapping"/>
                    <w:t xml:space="preserve">Matthew Burke</w:t>
                    <w:br w:type="textWrapping"/>
                    <w:t xml:space="preserve">Fariha Anzer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Staff Sign Off: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Staff Additional Check: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Locations: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Leeds University Campus, St James Hospital, LGI Leeds.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Details of Activity: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after="240" w:before="240" w:line="240" w:lineRule="auto"/>
                    <w:ind w:right="600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Academic Events:</w:t>
                  </w: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 Guest lectures and talks from clinicians, researchers, and industry professionals, held on university campus or at hospital sites (LGI, St James's).</w:t>
                  </w:r>
                </w:p>
                <w:p w:rsidR="00000000" w:rsidDel="00000000" w:rsidP="00000000" w:rsidRDefault="00000000" w:rsidRPr="00000000" w14:paraId="0000001D">
                  <w:pPr>
                    <w:widowControl w:val="0"/>
                    <w:spacing w:after="240" w:before="240" w:line="240" w:lineRule="auto"/>
                    <w:ind w:right="600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E">
                  <w:pPr>
                    <w:widowControl w:val="0"/>
                    <w:spacing w:after="240" w:before="240" w:line="240" w:lineRule="auto"/>
                    <w:ind w:right="600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Career &amp; Enterprise Events:</w:t>
                  </w: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 Networking sessions, career talks, and workshops focused on professional development.</w:t>
                  </w:r>
                </w:p>
                <w:p w:rsidR="00000000" w:rsidDel="00000000" w:rsidP="00000000" w:rsidRDefault="00000000" w:rsidRPr="00000000" w14:paraId="0000001F">
                  <w:pPr>
                    <w:widowControl w:val="0"/>
                    <w:spacing w:after="240" w:before="240" w:line="240" w:lineRule="auto"/>
                    <w:ind w:right="600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Educational Sessions:</w:t>
                  </w: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 Peer-led revision sessions, tutorials, and journal clubs to support academic learning.</w:t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spacing w:after="240" w:before="240" w:line="240" w:lineRule="auto"/>
                    <w:ind w:right="600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Social Gatherings:</w:t>
                  </w: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 Informal social events such as coffee mornings or pub socials held at LUU or other local venues to build a community among members.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People who may be affected: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Society members and participants</w:t>
                  </w:r>
                </w:p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Staff</w:t>
                  </w:r>
                </w:p>
              </w:tc>
            </w:tr>
          </w:tbl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0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07.5"/>
              <w:gridCol w:w="2007.5"/>
              <w:tblGridChange w:id="0">
                <w:tblGrid>
                  <w:gridCol w:w="2007.5"/>
                  <w:gridCol w:w="2007.5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Likelihood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Inevitable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Highly Likely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Probable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Unlikely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  <w:highlight w:val="black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1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Remote possibility</w:t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0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07.5"/>
              <w:gridCol w:w="2007.5"/>
              <w:tblGridChange w:id="0">
                <w:tblGrid>
                  <w:gridCol w:w="2007.5"/>
                  <w:gridCol w:w="2007.5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Severity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Very high - multiple deaths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Highly - death, serious injury, permanent disability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Moderate - Off Uni/work for at least 5 days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Slight - First aid treatment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Nil - Very minor</w:t>
                  </w:r>
                </w:p>
              </w:tc>
            </w:tr>
          </w:tbl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487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5.7142857142857"/>
              <w:gridCol w:w="695.7142857142857"/>
              <w:gridCol w:w="695.7142857142857"/>
              <w:gridCol w:w="695.7142857142857"/>
              <w:gridCol w:w="695.7142857142857"/>
              <w:gridCol w:w="695.7142857142857"/>
              <w:gridCol w:w="695.7142857142857"/>
              <w:tblGridChange w:id="0">
                <w:tblGrid>
                  <w:gridCol w:w="695.7142857142857"/>
                  <w:gridCol w:w="695.7142857142857"/>
                  <w:gridCol w:w="695.7142857142857"/>
                  <w:gridCol w:w="695.7142857142857"/>
                  <w:gridCol w:w="695.7142857142857"/>
                  <w:gridCol w:w="695.7142857142857"/>
                  <w:gridCol w:w="695.7142857142857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7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Severity 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Likelihood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8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9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12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8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12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16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25</w:t>
                  </w:r>
                </w:p>
              </w:tc>
            </w:tr>
          </w:tbl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487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435"/>
              <w:gridCol w:w="2435"/>
              <w:tblGridChange w:id="0">
                <w:tblGrid>
                  <w:gridCol w:w="2435"/>
                  <w:gridCol w:w="24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Risk rating score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Action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1 - 4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Broadly acceptable – no action required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cfe2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5 - 9</w:t>
                  </w:r>
                </w:p>
              </w:tc>
              <w:tc>
                <w:tcPr>
                  <w:shd w:fill="cfe2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Moderate - Reduce risks if reasonably practicable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10 - 15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High risk - Priority action to be undertaken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16 - 25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Unacceptable - Action must be taken immediately</w:t>
                  </w:r>
                </w:p>
              </w:tc>
            </w:tr>
          </w:tbl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</w:rPr>
              <w:drawing>
                <wp:inline distB="114300" distT="114300" distL="114300" distR="114300">
                  <wp:extent cx="1468800" cy="7715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1920"/>
        <w:gridCol w:w="345"/>
        <w:gridCol w:w="480"/>
        <w:gridCol w:w="525"/>
        <w:gridCol w:w="4185"/>
        <w:gridCol w:w="540"/>
        <w:gridCol w:w="570"/>
        <w:gridCol w:w="615"/>
        <w:gridCol w:w="4305"/>
        <w:tblGridChange w:id="0">
          <w:tblGrid>
            <w:gridCol w:w="2370"/>
            <w:gridCol w:w="1920"/>
            <w:gridCol w:w="345"/>
            <w:gridCol w:w="480"/>
            <w:gridCol w:w="525"/>
            <w:gridCol w:w="4185"/>
            <w:gridCol w:w="540"/>
            <w:gridCol w:w="570"/>
            <w:gridCol w:w="615"/>
            <w:gridCol w:w="43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Identify Hazards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Estimate the risk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Evaluate the risk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Evaluate residual risk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Hazard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How may harm result?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Likelihood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Severity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Risk control measures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Likelihood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Severity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Further action required?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Only fill out if additional control measures are needed to be implemented or reviewed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Include timescales and who is responsible for implementation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Slips, trips, and falls during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Members or guests tripping over trailing cables, bags, or coats in lecture theatres or other venues, causing minor injuries like sprains or bruises.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Event organisers check the venue for obvious trip hazards before the event begins.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Attendees are reminded at the start of events to keep walkways and aisles clear of personal belongings.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Use gaffer tape to secure any necessary trailing cables.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Ensure all venues used are adequately lit.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Use of faulty or unsafe electrical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Electric shock or fire from using faulty personal laptops for presentations or from university-owned equipment.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Use university/venue-provided and PAT-tested equipment where possible.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The committee performs a visual check on any society-owned equipment for damage before use.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Ensure plug sockets are not overloaded.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Psychological distress and exposure to biohazards during post-mortem observation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Students may experience fainting, nausea, or significant emotional distress. Remote risk of exposure to biological material if correct procedures are not followed.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Activity is run in strict accordance with the host hospital mortuary's policies.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Students must attend a mandatory briefing session beforehand, explaining what to expect.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Students are informed they can leave at any time without question if they feel unwell.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 committee member is available to support any student who leaves the session.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Personal Protective Equipment (PPE) must be worn as directed by mortuary staff.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 debrief session is offered afterwards to discuss the experience.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Committee to confirm booking procedures and supervision with the hospital mortuary team prior to the event. 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The events coordinators of the society can be in communication with post-mortem staff to help provide assistance to anyone who seems visibly uncomfortable or voices concerns.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Breach of patient confidentiality, infection control, or hospital rules when visiting hospitals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Members entering restricted clinical areas, disrupting hospital work, or violating patient privacy, posing a risk to patients and the society.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240" w:before="24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All events on hospital sites are conducted in pre-booked, non-clinical areas.</w:t>
            </w:r>
          </w:p>
          <w:p w:rsidR="00000000" w:rsidDel="00000000" w:rsidP="00000000" w:rsidRDefault="00000000" w:rsidRPr="00000000" w14:paraId="000000DC">
            <w:pPr>
              <w:widowControl w:val="0"/>
              <w:spacing w:after="240" w:before="24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Members are reminded at the start of the event to respect patient confidentiality and remain in the designated area.</w:t>
            </w:r>
          </w:p>
          <w:p w:rsidR="00000000" w:rsidDel="00000000" w:rsidP="00000000" w:rsidRDefault="00000000" w:rsidRPr="00000000" w14:paraId="000000DD">
            <w:pPr>
              <w:widowControl w:val="0"/>
              <w:spacing w:after="240" w:before="24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Attendees must follow all local hospital policies, including infection control measures.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Allergic reactions or food poisoning from food provided at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 member with a severe allergy could have an anaphylactic reaction. Poor food hygiene could lead to illness.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Food is bought from reputable, registered businesses.</w:t>
              <w:br w:type="textWrapping"/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Allergen information is requested from the supplier and made available to attendees.</w:t>
              <w:br w:type="textWrapping"/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Event sign-up forms will include a field for attendees to declare any allergies.</w:t>
              <w:br w:type="textWrapping"/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The society does not provide or permit alcohol at its events, eliminating associated risks.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Ensure allergy information is requested on sign-up forms for all catered events.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Fire or fire alarm activation during an 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Panic during evacuation, smoke inhalation, or injury if evacuation is disorderly or exits are blocked.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Committee members are aware of the fire evacuation procedures for all regular venues.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At the start of each event, the chair will briefly identify the nearest fire exits.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Ensure that fire exits and escape routes are never blocked.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Committee to confirm they know procedures for their main venues at the start of the year.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3.46456692913387" w:top="283.4645669291338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